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558A" w14:textId="77777777" w:rsidR="00671B5E" w:rsidRDefault="0000631C" w:rsidP="008067FD">
      <w:pPr>
        <w:pStyle w:val="VSTitle"/>
      </w:pPr>
      <w:r>
        <w:t xml:space="preserve">Isomerization of </w:t>
      </w:r>
      <w:r w:rsidR="001D1276">
        <w:br/>
      </w:r>
      <w:r>
        <w:t xml:space="preserve">Mercury </w:t>
      </w:r>
      <w:proofErr w:type="spellStart"/>
      <w:r>
        <w:t>Dithizonate</w:t>
      </w:r>
      <w:proofErr w:type="spellEnd"/>
    </w:p>
    <w:p w14:paraId="2E6E4CCD" w14:textId="77777777"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Excitation wavelength: &lt;500</w:t>
      </w:r>
      <w:r w:rsidRPr="000B01BE">
        <w:rPr>
          <w:rFonts w:ascii="Arial" w:hAnsi="Arial"/>
          <w:sz w:val="20"/>
        </w:rPr>
        <w:t xml:space="preserve"> nm</w:t>
      </w:r>
      <w:r w:rsidR="00D2770C">
        <w:rPr>
          <w:rFonts w:ascii="Arial" w:hAnsi="Arial"/>
          <w:sz w:val="20"/>
        </w:rPr>
        <w:t>, CG-BG-3</w:t>
      </w:r>
    </w:p>
    <w:p w14:paraId="58851AC1" w14:textId="77777777"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 wavelength: 600 nm</w:t>
      </w:r>
    </w:p>
    <w:p w14:paraId="0560467E" w14:textId="77777777" w:rsidR="0000631C" w:rsidRDefault="0000631C" w:rsidP="0000631C">
      <w:pPr>
        <w:pStyle w:val="VSHeadingsub1"/>
      </w:pPr>
    </w:p>
    <w:p w14:paraId="597D0439" w14:textId="77777777" w:rsidR="0000631C" w:rsidRPr="003D06F6" w:rsidRDefault="0000631C" w:rsidP="0000631C">
      <w:pPr>
        <w:pStyle w:val="VSHeadingsub1"/>
      </w:pPr>
      <w:r w:rsidRPr="003D06F6">
        <w:t>Chemicals needed</w:t>
      </w:r>
    </w:p>
    <w:p w14:paraId="2C17DE3E" w14:textId="77777777" w:rsidR="0000631C" w:rsidRPr="00061A0C" w:rsidRDefault="00246675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~10</w:t>
      </w:r>
      <w:r w:rsidRPr="00246675">
        <w:rPr>
          <w:rFonts w:ascii="Arial" w:hAnsi="Arial" w:cs="Arial"/>
          <w:color w:val="000000"/>
          <w:sz w:val="20"/>
          <w:szCs w:val="20"/>
          <w:vertAlign w:val="superscript"/>
        </w:rPr>
        <w:t>–5</w:t>
      </w:r>
      <w:r>
        <w:rPr>
          <w:rFonts w:ascii="Arial" w:hAnsi="Arial" w:cs="Arial"/>
          <w:color w:val="000000"/>
          <w:sz w:val="20"/>
          <w:szCs w:val="20"/>
        </w:rPr>
        <w:t xml:space="preserve"> M m</w:t>
      </w:r>
      <w:r w:rsidR="0000631C" w:rsidRPr="00061A0C">
        <w:rPr>
          <w:rFonts w:ascii="Arial" w:hAnsi="Arial"/>
          <w:sz w:val="20"/>
        </w:rPr>
        <w:t xml:space="preserve">ercury </w:t>
      </w:r>
      <w:proofErr w:type="spellStart"/>
      <w:r w:rsidR="0000631C">
        <w:rPr>
          <w:rFonts w:ascii="Arial" w:hAnsi="Arial"/>
          <w:sz w:val="20"/>
        </w:rPr>
        <w:t>d</w:t>
      </w:r>
      <w:r w:rsidR="0000631C" w:rsidRPr="00061A0C">
        <w:rPr>
          <w:rFonts w:ascii="Arial" w:hAnsi="Arial"/>
          <w:sz w:val="20"/>
        </w:rPr>
        <w:t>ithizonate</w:t>
      </w:r>
      <w:proofErr w:type="spellEnd"/>
      <w:r w:rsidR="0000631C" w:rsidRPr="00061A0C">
        <w:rPr>
          <w:rFonts w:ascii="Arial" w:hAnsi="Arial"/>
          <w:sz w:val="20"/>
        </w:rPr>
        <w:t xml:space="preserve"> (</w:t>
      </w:r>
      <w:proofErr w:type="spellStart"/>
      <w:r w:rsidR="0000631C" w:rsidRPr="00061A0C">
        <w:rPr>
          <w:rFonts w:ascii="Arial" w:hAnsi="Arial"/>
          <w:sz w:val="20"/>
        </w:rPr>
        <w:t>H</w:t>
      </w:r>
      <w:r w:rsidR="0000631C">
        <w:rPr>
          <w:rFonts w:ascii="Arial" w:hAnsi="Arial"/>
          <w:sz w:val="20"/>
        </w:rPr>
        <w:t>gDz</w:t>
      </w:r>
      <w:proofErr w:type="spellEnd"/>
      <w:r w:rsidR="0000631C">
        <w:rPr>
          <w:rFonts w:ascii="Arial" w:hAnsi="Arial"/>
          <w:sz w:val="20"/>
        </w:rPr>
        <w:t>)</w:t>
      </w:r>
    </w:p>
    <w:p w14:paraId="2AB5BAB4" w14:textId="77777777" w:rsidR="0000631C" w:rsidRPr="00061A0C" w:rsidRDefault="00246675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0.01 M</w:t>
      </w:r>
      <w:r>
        <w:rPr>
          <w:rFonts w:ascii="Arial" w:hAnsi="Arial"/>
          <w:sz w:val="20"/>
        </w:rPr>
        <w:t xml:space="preserve"> </w:t>
      </w:r>
      <w:r w:rsidR="00BA72C6">
        <w:rPr>
          <w:rFonts w:ascii="Arial" w:hAnsi="Arial"/>
          <w:sz w:val="20"/>
        </w:rPr>
        <w:t>t</w:t>
      </w:r>
      <w:r w:rsidR="0000631C" w:rsidRPr="00061A0C">
        <w:rPr>
          <w:rFonts w:ascii="Arial" w:hAnsi="Arial"/>
          <w:sz w:val="20"/>
        </w:rPr>
        <w:t>rifluoroacetic acid (TFA)</w:t>
      </w:r>
    </w:p>
    <w:p w14:paraId="18C85E7D" w14:textId="77777777" w:rsidR="0000631C" w:rsidRDefault="00BA72C6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00631C" w:rsidRPr="00061A0C">
        <w:rPr>
          <w:rFonts w:ascii="Arial" w:hAnsi="Arial"/>
          <w:sz w:val="20"/>
        </w:rPr>
        <w:t>thanol, commercial grade for solvent</w:t>
      </w:r>
    </w:p>
    <w:p w14:paraId="59DDA5BE" w14:textId="77777777"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14:paraId="272C5D0A" w14:textId="77777777" w:rsidR="00246675" w:rsidRPr="00DD7BB8" w:rsidRDefault="00246675" w:rsidP="00246675">
      <w:pPr>
        <w:pStyle w:val="VSHeadingsub1"/>
      </w:pPr>
      <w:r w:rsidRPr="00DD7BB8">
        <w:rPr>
          <w:rFonts w:cs="Arial"/>
          <w:bCs/>
          <w:color w:val="000000"/>
        </w:rPr>
        <w:t>Hardware and software</w:t>
      </w:r>
      <w:r w:rsidRPr="00DD7BB8">
        <w:t xml:space="preserve"> needed</w:t>
      </w:r>
    </w:p>
    <w:p w14:paraId="6BFA1B80" w14:textId="77777777" w:rsidR="00246675" w:rsidRPr="00061A0C" w:rsidRDefault="00246675" w:rsidP="002466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Vernier Flash Photolysis Spectrometer software (available for Windows® only)</w:t>
      </w:r>
    </w:p>
    <w:p w14:paraId="74FDF9A7" w14:textId="77777777" w:rsidR="00246675" w:rsidRDefault="00246675" w:rsidP="002466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computer</w:t>
      </w:r>
    </w:p>
    <w:p w14:paraId="4E5F7B1F" w14:textId="77777777" w:rsidR="00246675" w:rsidRPr="00DD7BB8" w:rsidRDefault="00246675" w:rsidP="002466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Vernier Flash Photolysis Spectrometer</w:t>
      </w:r>
    </w:p>
    <w:p w14:paraId="40032D0D" w14:textId="77777777" w:rsidR="00246675" w:rsidRPr="00DD7BB8" w:rsidRDefault="00246675" w:rsidP="002466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fluorescence cuvette</w:t>
      </w:r>
    </w:p>
    <w:p w14:paraId="54E42EED" w14:textId="77777777" w:rsidR="0000631C" w:rsidRDefault="0000631C" w:rsidP="0000631C">
      <w:pPr>
        <w:spacing w:line="360" w:lineRule="auto"/>
        <w:jc w:val="both"/>
        <w:rPr>
          <w:rFonts w:ascii="Arial" w:hAnsi="Arial"/>
          <w:b/>
          <w:sz w:val="20"/>
        </w:rPr>
      </w:pPr>
    </w:p>
    <w:p w14:paraId="50E926D1" w14:textId="77777777" w:rsidR="0000631C" w:rsidRPr="003D06F6" w:rsidRDefault="0000631C" w:rsidP="0000631C">
      <w:pPr>
        <w:pStyle w:val="VSHeadingsub1"/>
      </w:pPr>
      <w:r w:rsidRPr="003D06F6">
        <w:t>Background</w:t>
      </w:r>
    </w:p>
    <w:p w14:paraId="1B830F46" w14:textId="77777777" w:rsidR="0000631C" w:rsidRPr="00C176A5" w:rsidRDefault="0000631C" w:rsidP="0000631C">
      <w:pPr>
        <w:spacing w:line="360" w:lineRule="auto"/>
        <w:jc w:val="both"/>
        <w:rPr>
          <w:rFonts w:ascii="Arial" w:hAnsi="Arial"/>
          <w:b/>
          <w:sz w:val="20"/>
        </w:rPr>
      </w:pPr>
    </w:p>
    <w:p w14:paraId="0DEDA0C3" w14:textId="77777777" w:rsidR="0000631C" w:rsidRDefault="000B0166" w:rsidP="0000631C">
      <w:pPr>
        <w:spacing w:line="360" w:lineRule="auto"/>
        <w:jc w:val="both"/>
        <w:rPr>
          <w:rFonts w:ascii="Arial" w:hAnsi="Arial"/>
          <w:sz w:val="20"/>
        </w:rPr>
      </w:pPr>
      <w:r>
        <w:pict w14:anchorId="0D336C6F">
          <v:group id="_x0000_s1122" style="width:455.75pt;height:104.3pt;mso-position-horizontal-relative:char;mso-position-vertical-relative:line" coordorigin="1080,1882" coordsize="9570,2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6510;top:1882;width:4140;height:2208">
              <v:imagedata r:id="rId7" o:title="Hg_iso"/>
            </v:shape>
            <v:shape id="_x0000_s1124" type="#_x0000_t75" style="position:absolute;left:1080;top:1980;width:4030;height:1997">
              <v:imagedata r:id="rId8" o:title="Hg"/>
            </v:shape>
            <v:shape id="_x0000_s1125" type="#_x0000_t75" style="position:absolute;left:5220;top:2520;width:1252;height:897">
              <v:imagedata r:id="rId9" o:title=""/>
            </v:shape>
            <w10:anchorlock/>
          </v:group>
          <o:OLEObject Type="Embed" ProgID="Equation.DSMT4" ShapeID="_x0000_s1125" DrawAspect="Content" ObjectID="_1678093113" r:id="rId10"/>
        </w:pict>
      </w:r>
    </w:p>
    <w:p w14:paraId="703D1262" w14:textId="77777777"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14:paraId="71F7269F" w14:textId="77777777" w:rsidR="0000631C" w:rsidRDefault="0000631C" w:rsidP="0000631C">
      <w:pPr>
        <w:pStyle w:val="Caption"/>
      </w:pPr>
      <w:bookmarkStart w:id="0" w:name="_Toc252806314"/>
      <w:bookmarkStart w:id="1" w:name="_Toc303004764"/>
      <w:r w:rsidRPr="006C5AB1">
        <w:rPr>
          <w:b/>
        </w:rPr>
        <w:t xml:space="preserve">Figure </w:t>
      </w:r>
      <w:r>
        <w:rPr>
          <w:b/>
        </w:rPr>
        <w:t>1:</w:t>
      </w:r>
      <w:r w:rsidRPr="006C5AB1">
        <w:t xml:space="preserve"> Photoinduced isomerization</w:t>
      </w:r>
      <w:r>
        <w:t xml:space="preserve"> of mercury </w:t>
      </w:r>
      <w:proofErr w:type="spellStart"/>
      <w:r>
        <w:t>d</w:t>
      </w:r>
      <w:r w:rsidRPr="006C5AB1">
        <w:t>ithizonate</w:t>
      </w:r>
      <w:bookmarkEnd w:id="0"/>
      <w:bookmarkEnd w:id="1"/>
      <w:proofErr w:type="spellEnd"/>
    </w:p>
    <w:p w14:paraId="319186B1" w14:textId="77777777"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14:paraId="36E9018D" w14:textId="77777777" w:rsidR="0000631C" w:rsidRDefault="0000631C" w:rsidP="0000631C">
      <w:pPr>
        <w:pStyle w:val="Normal1"/>
      </w:pPr>
      <w:r>
        <w:t>This photoisomerization event occurs within the flash lamp profile (i.e., “instantaneously” on our time scale). The trans-to-cis back reaction occurs in the dark period following the flash, and t</w:t>
      </w:r>
      <w:r w:rsidRPr="000B01BE">
        <w:t xml:space="preserve">he color reverts thermally </w:t>
      </w:r>
      <w:r>
        <w:t xml:space="preserve">with a lifetime of ~650 </w:t>
      </w:r>
      <w:proofErr w:type="spellStart"/>
      <w:r>
        <w:t>ms.</w:t>
      </w:r>
      <w:proofErr w:type="spellEnd"/>
      <w:r>
        <w:t xml:space="preserve"> This inversion of color can be</w:t>
      </w:r>
      <w:r w:rsidRPr="000B01BE">
        <w:t xml:space="preserve"> catalyzed by acids and bases</w:t>
      </w:r>
      <w:r>
        <w:t xml:space="preserve">. </w:t>
      </w:r>
      <w:r w:rsidRPr="000B01BE">
        <w:t>In this experiment</w:t>
      </w:r>
      <w:r w:rsidR="00136AA1">
        <w:t>,</w:t>
      </w:r>
      <w:r w:rsidRPr="000B01BE">
        <w:t xml:space="preserve"> the solution of the </w:t>
      </w:r>
      <w:proofErr w:type="spellStart"/>
      <w:r w:rsidRPr="000B01BE">
        <w:t>HgDz</w:t>
      </w:r>
      <w:proofErr w:type="spellEnd"/>
      <w:r w:rsidRPr="000B01BE">
        <w:t xml:space="preserve"> complex is excited by the flash lamp and the decay of the transient absorption at 600 nm is monitored as a function of time after the flash.</w:t>
      </w:r>
    </w:p>
    <w:p w14:paraId="23ED627B" w14:textId="114B5D3B" w:rsidR="0000631C" w:rsidRDefault="0000631C" w:rsidP="000E58C2">
      <w:pPr>
        <w:pStyle w:val="Normal1"/>
      </w:pPr>
      <w:r w:rsidRPr="000B01BE">
        <w:t>The decay is exponential in time with a rate that is first order in the concentration of an acid such as trifluoroacetic acid</w:t>
      </w:r>
      <w:r>
        <w:t xml:space="preserve"> (TFA</w:t>
      </w:r>
      <w:r w:rsidR="00E0048D">
        <w:t>, Figure 3</w:t>
      </w:r>
      <w:r>
        <w:t>)</w:t>
      </w:r>
      <w:r w:rsidRPr="000B01BE">
        <w:t xml:space="preserve">. </w:t>
      </w:r>
      <w:r>
        <w:t xml:space="preserve">The experimental conditions are such that the TFA is at a much higher concentration than the photo-produced trans-isomer of the complex and so the conditions </w:t>
      </w:r>
      <w:r>
        <w:lastRenderedPageBreak/>
        <w:t xml:space="preserve">correspond to the pseudo-order situation as described in the kinetics theory section (Section </w:t>
      </w:r>
      <w:r w:rsidR="00503D73">
        <w:t>10.3</w:t>
      </w:r>
      <w:r w:rsidR="008F0ADB">
        <w:t xml:space="preserve"> of the reference manual</w:t>
      </w:r>
      <w:r>
        <w:t xml:space="preserve">). </w:t>
      </w:r>
      <w:r w:rsidRPr="000B01BE">
        <w:t>A plot of the observed rate constant as a function of acid concentration is linear with a slope that provides the bimolecular rate constant for the catalysis process.</w:t>
      </w:r>
    </w:p>
    <w:p w14:paraId="64E7BD82" w14:textId="77777777" w:rsidR="0000631C" w:rsidRPr="009D70F0" w:rsidRDefault="0000631C" w:rsidP="0000631C">
      <w:pPr>
        <w:spacing w:line="360" w:lineRule="auto"/>
        <w:jc w:val="center"/>
        <w:rPr>
          <w:rFonts w:asciiTheme="majorHAnsi" w:hAnsiTheme="majorHAnsi"/>
          <w:b/>
        </w:rPr>
      </w:pPr>
      <w:r w:rsidRPr="00585207">
        <w:rPr>
          <w:rFonts w:asciiTheme="majorHAnsi" w:hAnsiTheme="majorHAnsi"/>
          <w:b/>
          <w:noProof/>
        </w:rPr>
        <w:drawing>
          <wp:inline distT="0" distB="0" distL="0" distR="0" wp14:anchorId="08D38E6F" wp14:editId="370BDCF7">
            <wp:extent cx="5882417" cy="4128418"/>
            <wp:effectExtent l="0" t="0" r="10795" b="12065"/>
            <wp:docPr id="9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0"/>
                    <a:stretch/>
                  </pic:blipFill>
                  <pic:spPr bwMode="auto">
                    <a:xfrm>
                      <a:off x="0" y="0"/>
                      <a:ext cx="5883536" cy="41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E003D" w14:textId="77777777" w:rsidR="0000631C" w:rsidRDefault="0000631C" w:rsidP="0000631C">
      <w:pPr>
        <w:pStyle w:val="Caption"/>
      </w:pPr>
      <w:bookmarkStart w:id="2" w:name="_Toc303004765"/>
      <w:r w:rsidRPr="009D70F0">
        <w:rPr>
          <w:b/>
        </w:rPr>
        <w:t xml:space="preserve">Figure </w:t>
      </w:r>
      <w:r w:rsidR="008F0ADB">
        <w:rPr>
          <w:b/>
        </w:rPr>
        <w:t>2</w:t>
      </w:r>
      <w:r w:rsidRPr="009D70F0">
        <w:rPr>
          <w:b/>
        </w:rPr>
        <w:t>:</w:t>
      </w:r>
      <w:r w:rsidRPr="00AF526F">
        <w:t xml:space="preserve"> </w:t>
      </w:r>
      <w:r>
        <w:t>G</w:t>
      </w:r>
      <w:r w:rsidRPr="00AF526F">
        <w:t xml:space="preserve">round state absorption spectrum of </w:t>
      </w:r>
      <w:r>
        <w:t xml:space="preserve">mercury </w:t>
      </w:r>
      <w:proofErr w:type="spellStart"/>
      <w:r>
        <w:t>dithizonate</w:t>
      </w:r>
      <w:proofErr w:type="spellEnd"/>
      <w:r>
        <w:t xml:space="preserve"> (t</w:t>
      </w:r>
      <w:r w:rsidRPr="00AF526F">
        <w:t>rans</w:t>
      </w:r>
      <w:r>
        <w:t xml:space="preserve"> conf.) in ethanol</w:t>
      </w:r>
      <w:bookmarkEnd w:id="2"/>
    </w:p>
    <w:p w14:paraId="163C001A" w14:textId="77777777" w:rsidR="0000631C" w:rsidRPr="004B6F30" w:rsidRDefault="0000631C" w:rsidP="0000631C"/>
    <w:p w14:paraId="16DC940E" w14:textId="77777777" w:rsidR="0000631C" w:rsidRPr="003D06F6" w:rsidRDefault="0000631C" w:rsidP="008F0ADB">
      <w:pPr>
        <w:pStyle w:val="VSHeadingsub1"/>
      </w:pPr>
      <w:r w:rsidRPr="003D06F6">
        <w:t>Procedure</w:t>
      </w:r>
    </w:p>
    <w:p w14:paraId="27288FD0" w14:textId="77777777" w:rsidR="0000631C" w:rsidRDefault="0000631C" w:rsidP="0000631C">
      <w:pPr>
        <w:pStyle w:val="Normal1"/>
      </w:pPr>
      <w:bookmarkStart w:id="3" w:name="_Hlk67480090"/>
      <w:r>
        <w:t>Obtain and wear goggles. P</w:t>
      </w:r>
      <w:r w:rsidRPr="000B01BE">
        <w:t>repare a 25 m</w:t>
      </w:r>
      <w:r>
        <w:t>L</w:t>
      </w:r>
      <w:r w:rsidRPr="000B01BE">
        <w:t xml:space="preserve"> stock solution of </w:t>
      </w:r>
      <w:proofErr w:type="spellStart"/>
      <w:r w:rsidRPr="000B01BE">
        <w:t>HgDz</w:t>
      </w:r>
      <w:proofErr w:type="spellEnd"/>
      <w:r w:rsidRPr="000B01BE">
        <w:t xml:space="preserve"> in ethanol with sufficient solute to provide absorbance of </w:t>
      </w:r>
      <w:r w:rsidR="000E58C2">
        <w:rPr>
          <w:color w:val="000000"/>
        </w:rPr>
        <w:t>~1 in a standard cm</w:t>
      </w:r>
      <w:r w:rsidR="000E58C2" w:rsidRPr="000E58C2">
        <w:rPr>
          <w:color w:val="000000"/>
          <w:vertAlign w:val="superscript"/>
        </w:rPr>
        <w:t>2</w:t>
      </w:r>
      <w:r w:rsidR="000E58C2">
        <w:rPr>
          <w:color w:val="000000"/>
        </w:rPr>
        <w:t xml:space="preserve"> at </w:t>
      </w:r>
      <w:r w:rsidRPr="000B01BE">
        <w:t>500 nm (roughly 10</w:t>
      </w:r>
      <w:r w:rsidRPr="00F7179E">
        <w:rPr>
          <w:vertAlign w:val="superscript"/>
        </w:rPr>
        <w:t>-5</w:t>
      </w:r>
      <w:r w:rsidRPr="000B01BE">
        <w:t xml:space="preserve"> M)</w:t>
      </w:r>
      <w:r>
        <w:t xml:space="preserve">. </w:t>
      </w:r>
      <w:r w:rsidRPr="000B01BE">
        <w:t>P</w:t>
      </w:r>
      <w:r>
        <w:t xml:space="preserve">repare </w:t>
      </w:r>
      <w:r w:rsidRPr="000B01BE">
        <w:t>25 m</w:t>
      </w:r>
      <w:r>
        <w:t>L of</w:t>
      </w:r>
      <w:r w:rsidRPr="000B01BE">
        <w:t xml:space="preserve"> 0.01 M stock solution of TFA in ethanol</w:t>
      </w:r>
      <w:r>
        <w:t xml:space="preserve">. </w:t>
      </w:r>
      <w:r w:rsidR="00136AA1">
        <w:t>Prepare at least five</w:t>
      </w:r>
      <w:r w:rsidRPr="000B01BE">
        <w:t xml:space="preserve"> sample solutions, each containing 3 m</w:t>
      </w:r>
      <w:r>
        <w:t>L</w:t>
      </w:r>
      <w:r w:rsidRPr="000B01BE">
        <w:t xml:space="preserve"> of </w:t>
      </w:r>
      <w:proofErr w:type="spellStart"/>
      <w:r w:rsidRPr="000B01BE">
        <w:t>HgDz</w:t>
      </w:r>
      <w:proofErr w:type="spellEnd"/>
      <w:r w:rsidRPr="000B01BE">
        <w:t xml:space="preserve"> stock, aliqu</w:t>
      </w:r>
      <w:r>
        <w:t>ots of TFA stock in the range of 0–1 mL</w:t>
      </w:r>
      <w:r w:rsidR="00136AA1">
        <w:t>,</w:t>
      </w:r>
      <w:r w:rsidRPr="000B01BE">
        <w:t xml:space="preserve"> and sufficient ethanol to bring total volume to 4.0 m</w:t>
      </w:r>
      <w:r>
        <w:t xml:space="preserve">L. </w:t>
      </w:r>
      <w:r w:rsidRPr="000B01BE">
        <w:t xml:space="preserve">These sample solutions will all have the same concentration of </w:t>
      </w:r>
      <w:proofErr w:type="spellStart"/>
      <w:r w:rsidRPr="000B01BE">
        <w:t>HgDz</w:t>
      </w:r>
      <w:proofErr w:type="spellEnd"/>
      <w:r w:rsidRPr="000B01BE">
        <w:t xml:space="preserve"> and varying concentrations of TFA in the range 0</w:t>
      </w:r>
      <w:r>
        <w:t>–</w:t>
      </w:r>
      <w:r w:rsidRPr="000B01BE">
        <w:t>0.02 M TFA</w:t>
      </w:r>
      <w:r>
        <w:t xml:space="preserve">. </w:t>
      </w:r>
      <w:r w:rsidRPr="000B01BE">
        <w:t xml:space="preserve">Place </w:t>
      </w:r>
      <w:r>
        <w:t>~</w:t>
      </w:r>
      <w:r w:rsidRPr="004873D1">
        <w:t>4</w:t>
      </w:r>
      <w:r>
        <w:t xml:space="preserve"> mL</w:t>
      </w:r>
      <w:r w:rsidRPr="000B01BE">
        <w:t xml:space="preserve"> of the [TFA] = 0 M sample solution in a 10 mm x </w:t>
      </w:r>
      <w:r>
        <w:t xml:space="preserve">25 </w:t>
      </w:r>
      <w:r w:rsidRPr="000B01BE">
        <w:t>mm rectangular borosilicate cuvette with all faces polished and proceed to photoexcitation.</w:t>
      </w:r>
      <w:r w:rsidR="00E75877">
        <w:t xml:space="preserve"> </w:t>
      </w:r>
      <w:r w:rsidR="00E75877" w:rsidRPr="00E75877">
        <w:t xml:space="preserve">Ensure you have connected the Vernier Flash Photolysis Spectrometer to your computer using the </w:t>
      </w:r>
      <w:r w:rsidR="00136AA1">
        <w:t>Vernier Flash Photolysis Spectrometer</w:t>
      </w:r>
      <w:r w:rsidR="00136AA1" w:rsidRPr="00300046">
        <w:t xml:space="preserve"> </w:t>
      </w:r>
      <w:r w:rsidR="00136AA1">
        <w:t>software</w:t>
      </w:r>
      <w:r w:rsidR="00E75877" w:rsidRPr="00E75877">
        <w:t>. Insert the CG-BG-3 dielectric filter and the 600 nm band pass filter.</w:t>
      </w:r>
    </w:p>
    <w:p w14:paraId="5A21F747" w14:textId="77777777" w:rsidR="0000631C" w:rsidRDefault="0000631C" w:rsidP="000E58C2">
      <w:pPr>
        <w:pStyle w:val="Normal1"/>
      </w:pPr>
      <w:r w:rsidRPr="000B01BE">
        <w:t>Photoexcitation of an air-saturated ethanol solution of the Hg complex with the dithizone ligand</w:t>
      </w:r>
      <w:r>
        <w:t xml:space="preserve"> in the cis-form</w:t>
      </w:r>
      <w:r w:rsidRPr="000B01BE">
        <w:t xml:space="preserve"> induces cis-to-trans isomerization</w:t>
      </w:r>
      <w:r>
        <w:t>,</w:t>
      </w:r>
      <w:r w:rsidRPr="000B01BE">
        <w:t xml:space="preserve"> and the compound changes color from orange to blue (</w:t>
      </w:r>
      <w:proofErr w:type="spellStart"/>
      <w:r>
        <w:t>λ</w:t>
      </w:r>
      <w:r w:rsidRPr="00E75877">
        <w:rPr>
          <w:vertAlign w:val="subscript"/>
        </w:rPr>
        <w:t>max</w:t>
      </w:r>
      <w:proofErr w:type="spellEnd"/>
      <w:r w:rsidRPr="000B01BE">
        <w:t xml:space="preserve"> = 605 nm)</w:t>
      </w:r>
      <w:r>
        <w:t xml:space="preserve">. </w:t>
      </w:r>
    </w:p>
    <w:p w14:paraId="64183B07" w14:textId="77777777" w:rsidR="0000631C" w:rsidRPr="00951A42" w:rsidRDefault="0000631C" w:rsidP="0000631C">
      <w:pPr>
        <w:keepNext/>
        <w:jc w:val="center"/>
        <w:rPr>
          <w:rFonts w:ascii="Arial" w:hAnsi="Arial"/>
          <w:sz w:val="20"/>
        </w:rPr>
      </w:pPr>
      <w:bookmarkStart w:id="4" w:name="_Hlk66177395"/>
      <w:r w:rsidRPr="003C2FD9">
        <w:rPr>
          <w:rFonts w:ascii="Arial" w:hAnsi="Arial"/>
          <w:noProof/>
          <w:sz w:val="20"/>
        </w:rPr>
        <w:lastRenderedPageBreak/>
        <w:drawing>
          <wp:inline distT="0" distB="0" distL="0" distR="0" wp14:anchorId="5D28C2C0" wp14:editId="7FC4237A">
            <wp:extent cx="1143000" cy="897255"/>
            <wp:effectExtent l="25400" t="0" r="0" b="0"/>
            <wp:docPr id="10" name="Picture 39" descr="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D6C63" w14:textId="77777777" w:rsidR="0000631C" w:rsidRPr="00EC274A" w:rsidRDefault="0000631C" w:rsidP="0000631C">
      <w:pPr>
        <w:keepNext/>
        <w:rPr>
          <w:rFonts w:ascii="Arial" w:hAnsi="Arial"/>
          <w:sz w:val="20"/>
        </w:rPr>
      </w:pPr>
    </w:p>
    <w:p w14:paraId="0253DA93" w14:textId="77777777" w:rsidR="0000631C" w:rsidRDefault="0000631C" w:rsidP="0000631C">
      <w:pPr>
        <w:pStyle w:val="Caption"/>
        <w:keepNext/>
      </w:pPr>
      <w:bookmarkStart w:id="5" w:name="_Toc252806315"/>
      <w:bookmarkStart w:id="6" w:name="_Toc303004766"/>
      <w:r w:rsidRPr="006C5AB1">
        <w:rPr>
          <w:b/>
        </w:rPr>
        <w:t xml:space="preserve">Figure </w:t>
      </w:r>
      <w:r w:rsidR="008F0ADB">
        <w:rPr>
          <w:b/>
        </w:rPr>
        <w:t>3</w:t>
      </w:r>
      <w:r>
        <w:rPr>
          <w:b/>
        </w:rPr>
        <w:t xml:space="preserve">: </w:t>
      </w:r>
      <w:r w:rsidRPr="006C5AB1">
        <w:t>Trifluoroacetic acid (TFA); MW = 114.03</w:t>
      </w:r>
      <w:bookmarkEnd w:id="5"/>
      <w:bookmarkEnd w:id="6"/>
    </w:p>
    <w:p w14:paraId="65F4ED40" w14:textId="77777777" w:rsidR="0000631C" w:rsidRDefault="0000631C" w:rsidP="0000631C"/>
    <w:p w14:paraId="003EA4C5" w14:textId="77777777" w:rsidR="0000631C" w:rsidRPr="000B01BE" w:rsidRDefault="000E58C2" w:rsidP="000E58C2">
      <w:pPr>
        <w:pStyle w:val="Normal1"/>
      </w:pPr>
      <w:r w:rsidRPr="000E58C2">
        <w:rPr>
          <w:shd w:val="clear" w:color="auto" w:fill="FFFFFF"/>
        </w:rPr>
        <w:t xml:space="preserve">In Figure 4, you can see that the flash at t = 0 causes a vertical (on these time scales) drop in the Probe Intensity reading; ignoring the large spike and looking at data after 100 </w:t>
      </w:r>
      <w:proofErr w:type="spellStart"/>
      <w:r w:rsidRPr="000E58C2">
        <w:rPr>
          <w:shd w:val="clear" w:color="auto" w:fill="FFFFFF"/>
        </w:rPr>
        <w:t>μs</w:t>
      </w:r>
      <w:proofErr w:type="spellEnd"/>
      <w:r w:rsidRPr="000E58C2">
        <w:rPr>
          <w:shd w:val="clear" w:color="auto" w:fill="FFFFFF"/>
        </w:rPr>
        <w:t xml:space="preserve">, it drops from ~29.98 </w:t>
      </w:r>
      <w:proofErr w:type="spellStart"/>
      <w:r w:rsidRPr="000E58C2">
        <w:rPr>
          <w:shd w:val="clear" w:color="auto" w:fill="FFFFFF"/>
        </w:rPr>
        <w:t>μA</w:t>
      </w:r>
      <w:proofErr w:type="spellEnd"/>
      <w:r w:rsidRPr="000E58C2">
        <w:rPr>
          <w:shd w:val="clear" w:color="auto" w:fill="FFFFFF"/>
        </w:rPr>
        <w:t xml:space="preserve"> prior to the flash to ~29.85 </w:t>
      </w:r>
      <w:proofErr w:type="spellStart"/>
      <w:r w:rsidRPr="000E58C2">
        <w:rPr>
          <w:shd w:val="clear" w:color="auto" w:fill="FFFFFF"/>
        </w:rPr>
        <w:t>μA</w:t>
      </w:r>
      <w:proofErr w:type="spellEnd"/>
      <w:r w:rsidRPr="000E58C2">
        <w:rPr>
          <w:shd w:val="clear" w:color="auto" w:fill="FFFFFF"/>
        </w:rPr>
        <w:t xml:space="preserve"> after</w:t>
      </w:r>
      <w:r>
        <w:rPr>
          <w:shd w:val="clear" w:color="auto" w:fill="FFFFFF"/>
        </w:rPr>
        <w:t xml:space="preserve"> the flash</w:t>
      </w:r>
      <w:r w:rsidRPr="000E58C2">
        <w:rPr>
          <w:shd w:val="clear" w:color="auto" w:fill="FFFFFF"/>
        </w:rPr>
        <w:t>. Subsequently, the value increases over hundreds of milliseconds. The flash induces the changes outlined earlier, and very quickly, at shorter times than software can follow, the ground state of the cis-form is generated. After reviewing the scanned data, the</w:t>
      </w:r>
      <w:r>
        <w:rPr>
          <w:shd w:val="clear" w:color="auto" w:fill="FFFFFF"/>
        </w:rPr>
        <w:t xml:space="preserve"> half-life for this sample is ~</w:t>
      </w:r>
      <w:r w:rsidRPr="000E58C2">
        <w:rPr>
          <w:shd w:val="clear" w:color="auto" w:fill="FFFFFF"/>
        </w:rPr>
        <w:t xml:space="preserve">300 </w:t>
      </w:r>
      <w:proofErr w:type="spellStart"/>
      <w:r w:rsidRPr="000E58C2">
        <w:rPr>
          <w:shd w:val="clear" w:color="auto" w:fill="FFFFFF"/>
        </w:rPr>
        <w:t>ms.</w:t>
      </w:r>
      <w:proofErr w:type="spellEnd"/>
      <w:r w:rsidRPr="000E58C2">
        <w:rPr>
          <w:shd w:val="clear" w:color="auto" w:fill="FFFFFF"/>
        </w:rPr>
        <w:t xml:space="preserve"> Importing the data into </w:t>
      </w:r>
      <w:r w:rsidR="00D839F1">
        <w:rPr>
          <w:shd w:val="clear" w:color="auto" w:fill="FFFFFF"/>
        </w:rPr>
        <w:t xml:space="preserve">data-analysis software such as </w:t>
      </w:r>
      <w:r w:rsidRPr="000E58C2">
        <w:rPr>
          <w:shd w:val="clear" w:color="auto" w:fill="FFFFFF"/>
        </w:rPr>
        <w:t xml:space="preserve">Logger </w:t>
      </w:r>
      <w:r w:rsidR="00D839F1">
        <w:rPr>
          <w:i/>
          <w:iCs/>
          <w:shd w:val="clear" w:color="auto" w:fill="FFFFFF"/>
        </w:rPr>
        <w:t>Pro</w:t>
      </w:r>
      <w:r w:rsidRPr="000E58C2">
        <w:rPr>
          <w:i/>
          <w:iCs/>
          <w:shd w:val="clear" w:color="auto" w:fill="FFFFFF"/>
        </w:rPr>
        <w:t xml:space="preserve"> </w:t>
      </w:r>
      <w:r w:rsidRPr="000E58C2">
        <w:rPr>
          <w:shd w:val="clear" w:color="auto" w:fill="FFFFFF"/>
        </w:rPr>
        <w:t>will allow for the determination of the trans-cis isomerization rate constant with greater accuracy. Repeating this process at the various concentrations of TFA will show a linear dependence of the lifetime on acid concentration.</w:t>
      </w:r>
    </w:p>
    <w:p w14:paraId="7E43CEFD" w14:textId="77777777" w:rsidR="0000631C" w:rsidRPr="000E58C2" w:rsidRDefault="000E58C2" w:rsidP="000E58C2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2291F675" wp14:editId="54A8B926">
            <wp:extent cx="5943600" cy="3422650"/>
            <wp:effectExtent l="19050" t="19050" r="19050" b="25400"/>
            <wp:docPr id="1" name="Picture 0" descr="mercury screensh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ury screenshot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68AD4F" w14:textId="77777777" w:rsidR="0000631C" w:rsidRPr="00AF526F" w:rsidRDefault="0000631C" w:rsidP="0000631C">
      <w:pPr>
        <w:pStyle w:val="Caption"/>
      </w:pPr>
      <w:bookmarkStart w:id="7" w:name="_Toc303004767"/>
      <w:r w:rsidRPr="009D70F0">
        <w:rPr>
          <w:b/>
        </w:rPr>
        <w:t xml:space="preserve">Figure </w:t>
      </w:r>
      <w:r w:rsidR="008F0ADB">
        <w:rPr>
          <w:b/>
        </w:rPr>
        <w:t>4</w:t>
      </w:r>
      <w:r w:rsidRPr="009D70F0">
        <w:rPr>
          <w:b/>
        </w:rPr>
        <w:t>:</w:t>
      </w:r>
      <w:r w:rsidRPr="00AF526F">
        <w:t xml:space="preserve"> </w:t>
      </w:r>
      <w:r>
        <w:t>K</w:t>
      </w:r>
      <w:r w:rsidRPr="00AF526F">
        <w:t xml:space="preserve">inetic profile of </w:t>
      </w:r>
      <w:r>
        <w:t xml:space="preserve">mercury </w:t>
      </w:r>
      <w:proofErr w:type="spellStart"/>
      <w:r>
        <w:t>dithizonate</w:t>
      </w:r>
      <w:proofErr w:type="spellEnd"/>
      <w:r w:rsidRPr="00AF526F">
        <w:t xml:space="preserve"> in ethanol</w:t>
      </w:r>
      <w:bookmarkEnd w:id="7"/>
    </w:p>
    <w:bookmarkEnd w:id="3"/>
    <w:bookmarkEnd w:id="4"/>
    <w:p w14:paraId="6CCD790D" w14:textId="77777777" w:rsidR="00D63446" w:rsidRDefault="00D63446" w:rsidP="0000631C">
      <w:pPr>
        <w:spacing w:line="360" w:lineRule="auto"/>
        <w:jc w:val="both"/>
      </w:pPr>
    </w:p>
    <w:sectPr w:rsidR="00D63446" w:rsidSect="005851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593A" w14:textId="77777777" w:rsidR="000B0166" w:rsidRDefault="000B0166">
      <w:r>
        <w:separator/>
      </w:r>
    </w:p>
  </w:endnote>
  <w:endnote w:type="continuationSeparator" w:id="0">
    <w:p w14:paraId="1315A88F" w14:textId="77777777" w:rsidR="000B0166" w:rsidRDefault="000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370A" w14:textId="77777777" w:rsidR="00926723" w:rsidRDefault="00926723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</w:r>
    <w:r w:rsidR="00BC495D">
      <w:t>Flash Photolysis Experiments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310D" w14:textId="77777777" w:rsidR="00926723" w:rsidRDefault="00BC495D" w:rsidP="008067FD">
    <w:pPr>
      <w:pStyle w:val="VSFooteroddpages"/>
    </w:pPr>
    <w:r>
      <w:t>Flash Photolysis Experiments</w:t>
    </w:r>
    <w:r w:rsidR="00926723">
      <w:tab/>
    </w:r>
    <w:r w:rsidR="00926723" w:rsidRPr="008067FD">
      <w:rPr>
        <w:i w:val="0"/>
        <w:sz w:val="24"/>
        <w:szCs w:val="24"/>
      </w:rP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537B" w14:textId="77777777" w:rsidR="00926723" w:rsidRPr="00B20DB5" w:rsidRDefault="00BC495D" w:rsidP="008067FD">
    <w:pPr>
      <w:pStyle w:val="VSFooter1stpage"/>
    </w:pPr>
    <w:r>
      <w:t>Flash Photolysis Experiments</w:t>
    </w:r>
    <w:r w:rsidR="00926723">
      <w:tab/>
      <w:t>© Vernier Software &amp; Technology</w:t>
    </w:r>
    <w:r w:rsidR="00926723">
      <w:tab/>
    </w:r>
    <w:r w:rsidR="00926723" w:rsidRPr="008067FD">
      <w:rPr>
        <w:i w:val="0"/>
        <w:sz w:val="24"/>
        <w:szCs w:val="24"/>
      </w:rPr>
      <w:t xml:space="preserve"> </w:t>
    </w:r>
    <w:r w:rsidR="00926723" w:rsidRPr="008067FD">
      <w:rPr>
        <w:i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7484" w14:textId="77777777" w:rsidR="000B0166" w:rsidRDefault="000B0166">
      <w:r>
        <w:separator/>
      </w:r>
    </w:p>
  </w:footnote>
  <w:footnote w:type="continuationSeparator" w:id="0">
    <w:p w14:paraId="122D5B7E" w14:textId="77777777" w:rsidR="000B0166" w:rsidRDefault="000B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D214" w14:textId="77777777" w:rsidR="00926723" w:rsidRPr="00DF3353" w:rsidRDefault="008F0ADB" w:rsidP="008067FD">
    <w:pPr>
      <w:pStyle w:val="VSHeaderevenpages"/>
    </w:pPr>
    <w:r>
      <w:t xml:space="preserve">Isomerization of Mercury </w:t>
    </w:r>
    <w:proofErr w:type="spellStart"/>
    <w:r>
      <w:t>Dithizonate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7360" w14:textId="77777777" w:rsidR="00926723" w:rsidRDefault="00926723" w:rsidP="008067FD">
    <w:pPr>
      <w:pStyle w:val="VSHeaderoddpages"/>
    </w:pPr>
    <w:r>
      <w:tab/>
    </w:r>
    <w:r w:rsidR="008F0ADB">
      <w:t>Isomerization of Mercury Dithizonate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4FEF" w14:textId="77777777" w:rsidR="00926723" w:rsidRDefault="00926723" w:rsidP="008067FD">
    <w:pPr>
      <w:pStyle w:val="VSHeader1stpage"/>
    </w:pPr>
    <w:r>
      <w:tab/>
    </w:r>
    <w:r w:rsidR="00D63446">
      <w:t xml:space="preserve">Flash Photolysis </w:t>
    </w:r>
    <w:r>
      <w:t>Experiment</w:t>
    </w:r>
  </w:p>
  <w:p w14:paraId="1CD76CA7" w14:textId="77777777" w:rsidR="00926723" w:rsidRDefault="00926723" w:rsidP="008067FD">
    <w:pPr>
      <w:pStyle w:val="VSHeaderChapter"/>
    </w:pPr>
    <w:r>
      <w:tab/>
    </w:r>
    <w:r w:rsidR="008F0A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DD40B4"/>
    <w:multiLevelType w:val="hybridMultilevel"/>
    <w:tmpl w:val="18C2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12"/>
    <w:rsid w:val="0000631C"/>
    <w:rsid w:val="00006D02"/>
    <w:rsid w:val="00017797"/>
    <w:rsid w:val="00021254"/>
    <w:rsid w:val="000213D7"/>
    <w:rsid w:val="00024371"/>
    <w:rsid w:val="00026446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83FDB"/>
    <w:rsid w:val="000900B9"/>
    <w:rsid w:val="000911E1"/>
    <w:rsid w:val="00092F4F"/>
    <w:rsid w:val="000969AD"/>
    <w:rsid w:val="000A6DD8"/>
    <w:rsid w:val="000B0166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58C2"/>
    <w:rsid w:val="000E69C8"/>
    <w:rsid w:val="000F4A3B"/>
    <w:rsid w:val="000F62EB"/>
    <w:rsid w:val="000F6DD8"/>
    <w:rsid w:val="00114862"/>
    <w:rsid w:val="00115584"/>
    <w:rsid w:val="00123C1F"/>
    <w:rsid w:val="00123D42"/>
    <w:rsid w:val="00124EF6"/>
    <w:rsid w:val="00136AA1"/>
    <w:rsid w:val="00142A9D"/>
    <w:rsid w:val="00145AF3"/>
    <w:rsid w:val="00150B8D"/>
    <w:rsid w:val="001575FF"/>
    <w:rsid w:val="00163AF6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0FA4"/>
    <w:rsid w:val="001B63CE"/>
    <w:rsid w:val="001B7C68"/>
    <w:rsid w:val="001C0DED"/>
    <w:rsid w:val="001C277B"/>
    <w:rsid w:val="001C5555"/>
    <w:rsid w:val="001C6BC0"/>
    <w:rsid w:val="001D1276"/>
    <w:rsid w:val="001D282B"/>
    <w:rsid w:val="001D5744"/>
    <w:rsid w:val="001E691C"/>
    <w:rsid w:val="001F1EB6"/>
    <w:rsid w:val="001F2FD4"/>
    <w:rsid w:val="001F4C63"/>
    <w:rsid w:val="002001BB"/>
    <w:rsid w:val="002021CA"/>
    <w:rsid w:val="002049AC"/>
    <w:rsid w:val="0020592C"/>
    <w:rsid w:val="002141EA"/>
    <w:rsid w:val="002166FC"/>
    <w:rsid w:val="00220B6A"/>
    <w:rsid w:val="0022114C"/>
    <w:rsid w:val="002315A4"/>
    <w:rsid w:val="00231D48"/>
    <w:rsid w:val="00236759"/>
    <w:rsid w:val="002371E3"/>
    <w:rsid w:val="002430FD"/>
    <w:rsid w:val="00246675"/>
    <w:rsid w:val="0024779F"/>
    <w:rsid w:val="00261063"/>
    <w:rsid w:val="00261600"/>
    <w:rsid w:val="002649EF"/>
    <w:rsid w:val="00275BB2"/>
    <w:rsid w:val="002760E3"/>
    <w:rsid w:val="00286E2F"/>
    <w:rsid w:val="002875CD"/>
    <w:rsid w:val="00293414"/>
    <w:rsid w:val="00297972"/>
    <w:rsid w:val="002A064C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F6249"/>
    <w:rsid w:val="002F7DBE"/>
    <w:rsid w:val="00300AED"/>
    <w:rsid w:val="0030206B"/>
    <w:rsid w:val="00312E7D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7A7"/>
    <w:rsid w:val="003720FF"/>
    <w:rsid w:val="00375C39"/>
    <w:rsid w:val="00384DC0"/>
    <w:rsid w:val="003879CB"/>
    <w:rsid w:val="00387EEE"/>
    <w:rsid w:val="00390511"/>
    <w:rsid w:val="00390C54"/>
    <w:rsid w:val="00394294"/>
    <w:rsid w:val="003A1CB8"/>
    <w:rsid w:val="003B583D"/>
    <w:rsid w:val="003B68B8"/>
    <w:rsid w:val="003C3F59"/>
    <w:rsid w:val="003D261E"/>
    <w:rsid w:val="003D6CEA"/>
    <w:rsid w:val="003E70DF"/>
    <w:rsid w:val="003E753A"/>
    <w:rsid w:val="003F5AE3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5BC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1D6"/>
    <w:rsid w:val="004F796C"/>
    <w:rsid w:val="00500EB9"/>
    <w:rsid w:val="00501057"/>
    <w:rsid w:val="00502321"/>
    <w:rsid w:val="0050281B"/>
    <w:rsid w:val="00503D73"/>
    <w:rsid w:val="0051058A"/>
    <w:rsid w:val="005121CA"/>
    <w:rsid w:val="00516EAE"/>
    <w:rsid w:val="00520D04"/>
    <w:rsid w:val="0053503C"/>
    <w:rsid w:val="005362EF"/>
    <w:rsid w:val="0054400F"/>
    <w:rsid w:val="00545D5B"/>
    <w:rsid w:val="00546423"/>
    <w:rsid w:val="00554398"/>
    <w:rsid w:val="00557991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B2BA7"/>
    <w:rsid w:val="005C3891"/>
    <w:rsid w:val="005C58D0"/>
    <w:rsid w:val="005C7D1B"/>
    <w:rsid w:val="005D0A8A"/>
    <w:rsid w:val="005D6C81"/>
    <w:rsid w:val="005D757A"/>
    <w:rsid w:val="005F4AB3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4F7F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25F5B"/>
    <w:rsid w:val="00740BD4"/>
    <w:rsid w:val="007438C5"/>
    <w:rsid w:val="007444A0"/>
    <w:rsid w:val="007526F0"/>
    <w:rsid w:val="007535A9"/>
    <w:rsid w:val="00756011"/>
    <w:rsid w:val="00783184"/>
    <w:rsid w:val="00786878"/>
    <w:rsid w:val="007A1CD1"/>
    <w:rsid w:val="007B7AAA"/>
    <w:rsid w:val="007C4CDA"/>
    <w:rsid w:val="007D2EA1"/>
    <w:rsid w:val="007F295C"/>
    <w:rsid w:val="007F767D"/>
    <w:rsid w:val="007F7ACB"/>
    <w:rsid w:val="008067FD"/>
    <w:rsid w:val="0081427E"/>
    <w:rsid w:val="00816B54"/>
    <w:rsid w:val="008209D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6411B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E6745"/>
    <w:rsid w:val="008F0ADB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A112A"/>
    <w:rsid w:val="009A2C3F"/>
    <w:rsid w:val="009A426A"/>
    <w:rsid w:val="009A75BF"/>
    <w:rsid w:val="009B4646"/>
    <w:rsid w:val="009C1CC8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72C6"/>
    <w:rsid w:val="00BA7E73"/>
    <w:rsid w:val="00BB539E"/>
    <w:rsid w:val="00BC2FF4"/>
    <w:rsid w:val="00BC495D"/>
    <w:rsid w:val="00BC5774"/>
    <w:rsid w:val="00BC74BE"/>
    <w:rsid w:val="00BC75AC"/>
    <w:rsid w:val="00BD0A9C"/>
    <w:rsid w:val="00BF21C0"/>
    <w:rsid w:val="00BF2E6C"/>
    <w:rsid w:val="00BF4145"/>
    <w:rsid w:val="00BF6368"/>
    <w:rsid w:val="00C0009D"/>
    <w:rsid w:val="00C064B2"/>
    <w:rsid w:val="00C06678"/>
    <w:rsid w:val="00C073F8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70C"/>
    <w:rsid w:val="00D27BCC"/>
    <w:rsid w:val="00D301C9"/>
    <w:rsid w:val="00D314F2"/>
    <w:rsid w:val="00D31D1B"/>
    <w:rsid w:val="00D4570D"/>
    <w:rsid w:val="00D5198F"/>
    <w:rsid w:val="00D538F0"/>
    <w:rsid w:val="00D55572"/>
    <w:rsid w:val="00D61AD7"/>
    <w:rsid w:val="00D63446"/>
    <w:rsid w:val="00D645E2"/>
    <w:rsid w:val="00D7038C"/>
    <w:rsid w:val="00D7177C"/>
    <w:rsid w:val="00D762E9"/>
    <w:rsid w:val="00D7770F"/>
    <w:rsid w:val="00D81C9B"/>
    <w:rsid w:val="00D839F1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48D"/>
    <w:rsid w:val="00E00A22"/>
    <w:rsid w:val="00E079F6"/>
    <w:rsid w:val="00E1024D"/>
    <w:rsid w:val="00E14490"/>
    <w:rsid w:val="00E22A27"/>
    <w:rsid w:val="00E2322A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75877"/>
    <w:rsid w:val="00E80F2D"/>
    <w:rsid w:val="00E8402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5C45"/>
    <w:rsid w:val="00EE7F34"/>
    <w:rsid w:val="00EF0344"/>
    <w:rsid w:val="00EF6197"/>
    <w:rsid w:val="00F02181"/>
    <w:rsid w:val="00F13B24"/>
    <w:rsid w:val="00F17DB5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0D33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730D"/>
    <w:rsid w:val="00FC75F5"/>
    <w:rsid w:val="00FD2073"/>
    <w:rsid w:val="00FD2A40"/>
    <w:rsid w:val="00FD48A5"/>
    <w:rsid w:val="00FD6980"/>
    <w:rsid w:val="00FE0D9C"/>
    <w:rsid w:val="00FE39A4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04B87"/>
  <w15:docId w15:val="{F009F14B-F586-45C9-A47D-319A9EC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D6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D634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ption">
    <w:name w:val="caption"/>
    <w:basedOn w:val="Normal"/>
    <w:next w:val="Normal"/>
    <w:qFormat/>
    <w:locked/>
    <w:rsid w:val="00D63446"/>
    <w:pPr>
      <w:overflowPunct/>
      <w:autoSpaceDE/>
      <w:autoSpaceDN/>
      <w:adjustRightInd/>
      <w:jc w:val="center"/>
      <w:textAlignment w:val="auto"/>
    </w:pPr>
    <w:rPr>
      <w:rFonts w:ascii="Arial" w:hAnsi="Arial" w:cs="Arial"/>
      <w:bCs/>
      <w:i/>
      <w:sz w:val="20"/>
    </w:rPr>
  </w:style>
  <w:style w:type="paragraph" w:styleId="ListParagraph">
    <w:name w:val="List Paragraph"/>
    <w:basedOn w:val="Normal"/>
    <w:qFormat/>
    <w:locked/>
    <w:rsid w:val="00D6344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customStyle="1" w:styleId="Normal1">
    <w:name w:val="Normal 1"/>
    <w:basedOn w:val="Normal"/>
    <w:qFormat/>
    <w:rsid w:val="00D6344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BC4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95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aplank</dc:creator>
  <cp:lastModifiedBy>Melissa Hill</cp:lastModifiedBy>
  <cp:revision>12</cp:revision>
  <cp:lastPrinted>2015-06-16T17:58:00Z</cp:lastPrinted>
  <dcterms:created xsi:type="dcterms:W3CDTF">2018-04-20T15:03:00Z</dcterms:created>
  <dcterms:modified xsi:type="dcterms:W3CDTF">2021-03-24T19:12:00Z</dcterms:modified>
</cp:coreProperties>
</file>